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56B5B8" w14:textId="097EF803" w:rsidR="008C2E18" w:rsidRPr="00843ABC" w:rsidRDefault="00000000">
      <w:pPr>
        <w:pStyle w:val="NormalWeb"/>
        <w:keepNext/>
        <w:spacing w:before="0"/>
        <w:jc w:val="center"/>
        <w:rPr>
          <w:sz w:val="32"/>
          <w:szCs w:val="32"/>
        </w:rPr>
      </w:pPr>
      <w:r w:rsidRPr="00843ABC">
        <w:rPr>
          <w:b/>
          <w:sz w:val="32"/>
          <w:szCs w:val="32"/>
        </w:rPr>
        <w:t xml:space="preserve">Ce Liu’s </w:t>
      </w:r>
      <w:r w:rsidR="00751EE7" w:rsidRPr="00843ABC">
        <w:rPr>
          <w:b/>
          <w:sz w:val="32"/>
          <w:szCs w:val="32"/>
        </w:rPr>
        <w:t>Research Statement</w:t>
      </w:r>
    </w:p>
    <w:p w14:paraId="25863B66" w14:textId="36EDC485" w:rsidR="008C2E18" w:rsidRDefault="00000000">
      <w:pPr>
        <w:pStyle w:val="NormalWeb"/>
        <w:jc w:val="both"/>
      </w:pPr>
      <w:r>
        <w:t xml:space="preserve">I am a microeconomic theorist who uses and develops mathematical and game-theoretic tools to study important economic and social phenomena. My research interests include (a) dynamic coalition games, (b) information economics, and (c) decision theory. What motivates my research is a careful analysis of incentives and a deep understanding of strategic forces using rigorous models. My goal is to gain economic insights that can be distilled into concise mathematical </w:t>
      </w:r>
      <w:r w:rsidR="00F320D9">
        <w:t>models</w:t>
      </w:r>
      <w:r w:rsidR="00684216">
        <w:t>,</w:t>
      </w:r>
      <w:r>
        <w:t xml:space="preserve"> </w:t>
      </w:r>
      <w:r w:rsidR="00684216">
        <w:t>which</w:t>
      </w:r>
      <w:r w:rsidR="00F320D9">
        <w:t xml:space="preserve"> can </w:t>
      </w:r>
      <w:r w:rsidR="00684216">
        <w:t xml:space="preserve">in turn </w:t>
      </w:r>
      <w:r w:rsidR="00F320D9">
        <w:t>be</w:t>
      </w:r>
      <w:r>
        <w:t xml:space="preserve"> used to inform policy questions.</w:t>
      </w:r>
    </w:p>
    <w:p w14:paraId="29A16C95" w14:textId="10E187C0" w:rsidR="008C2E18" w:rsidRDefault="00000000">
      <w:pPr>
        <w:pStyle w:val="NormalWeb"/>
        <w:jc w:val="both"/>
      </w:pPr>
      <w:r>
        <w:t xml:space="preserve">Across the three </w:t>
      </w:r>
      <w:r w:rsidR="006647C8">
        <w:t xml:space="preserve">broad research </w:t>
      </w:r>
      <w:r>
        <w:t>areas</w:t>
      </w:r>
      <w:r w:rsidR="006647C8">
        <w:t xml:space="preserve"> I’ve worked on</w:t>
      </w:r>
      <w:r>
        <w:t xml:space="preserve">, my </w:t>
      </w:r>
      <w:r w:rsidR="006D1EF4">
        <w:t xml:space="preserve">published </w:t>
      </w:r>
      <w:r>
        <w:t xml:space="preserve">research portfolio now includes two articles in top-five journals—one published in the </w:t>
      </w:r>
      <w:r>
        <w:rPr>
          <w:i/>
        </w:rPr>
        <w:t>Journal of Political Economy</w:t>
      </w:r>
      <w:r>
        <w:t xml:space="preserve"> in 2024 and one forthcoming in </w:t>
      </w:r>
      <w:proofErr w:type="spellStart"/>
      <w:r>
        <w:rPr>
          <w:i/>
        </w:rPr>
        <w:t>Econometrica</w:t>
      </w:r>
      <w:proofErr w:type="spellEnd"/>
      <w:r>
        <w:t xml:space="preserve">—and four articles in leading field journals: the </w:t>
      </w:r>
      <w:r>
        <w:rPr>
          <w:i/>
        </w:rPr>
        <w:t>American Economic Journal: Microeconomics</w:t>
      </w:r>
      <w:r>
        <w:t xml:space="preserve"> in 2026, </w:t>
      </w:r>
      <w:r>
        <w:rPr>
          <w:i/>
        </w:rPr>
        <w:t>Theoretical Economics</w:t>
      </w:r>
      <w:r>
        <w:t xml:space="preserve"> in 2023, and the </w:t>
      </w:r>
      <w:r>
        <w:rPr>
          <w:i/>
        </w:rPr>
        <w:t>Journal of Economic Theory</w:t>
      </w:r>
      <w:r>
        <w:t xml:space="preserve"> in 2020 and 2016. As of August 2026, my work has received 216 citations on Google Scholar.</w:t>
      </w:r>
    </w:p>
    <w:p w14:paraId="1C472D20" w14:textId="3EB454EF" w:rsidR="008C2E18" w:rsidRPr="00843ABC" w:rsidRDefault="00751EE7" w:rsidP="00484D0E">
      <w:pPr>
        <w:pStyle w:val="NormalWeb"/>
        <w:keepNext/>
        <w:jc w:val="center"/>
        <w:rPr>
          <w:b/>
          <w:bCs/>
          <w:iCs/>
        </w:rPr>
      </w:pPr>
      <w:r w:rsidRPr="00843ABC">
        <w:rPr>
          <w:b/>
          <w:bCs/>
          <w:iCs/>
        </w:rPr>
        <w:t xml:space="preserve">I. </w:t>
      </w:r>
      <w:r w:rsidR="00000000" w:rsidRPr="00843ABC">
        <w:rPr>
          <w:b/>
          <w:bCs/>
          <w:iCs/>
        </w:rPr>
        <w:t>Dynamic Coalition Games</w:t>
      </w:r>
    </w:p>
    <w:p w14:paraId="05838704" w14:textId="42119330" w:rsidR="005A72CF" w:rsidRDefault="005A72CF" w:rsidP="005A72CF">
      <w:pPr>
        <w:pStyle w:val="NormalWeb"/>
      </w:pPr>
      <w:r>
        <w:t xml:space="preserve">My research on dynamic coalition games studies how long-run relationships can discipline deviations by groups rather than only by individuals. In “Coalitions in Repeated Games” (with S. </w:t>
      </w:r>
      <w:proofErr w:type="spellStart"/>
      <w:r>
        <w:t>Nageeb</w:t>
      </w:r>
      <w:proofErr w:type="spellEnd"/>
      <w:r>
        <w:t xml:space="preserve"> Ali, forthcoming in </w:t>
      </w:r>
      <w:proofErr w:type="spellStart"/>
      <w:r>
        <w:t>Econometrica</w:t>
      </w:r>
      <w:proofErr w:type="spellEnd"/>
      <w:r>
        <w:t xml:space="preserve">), we develop a portable framework for repeated </w:t>
      </w:r>
      <w:r w:rsidR="00502DE9">
        <w:t>coalition</w:t>
      </w:r>
      <w:r>
        <w:t xml:space="preserve"> games. Static concepts such as the core evaluate coalitional deviations but omit the promises of future punishments and rewards; standard repeated-game models focus primarily on individual deviations. We bridge these approaches through perfect coalitional equilibrium (PCE), a solution concept for history-dependent plans immune to profitable coalitional blocks after every history. The framework encompasses strategic-form, characteristic-function, matching, and voting games.</w:t>
      </w:r>
    </w:p>
    <w:p w14:paraId="21DF53A4" w14:textId="77777777" w:rsidR="005A72CF" w:rsidRDefault="005A72CF" w:rsidP="005A72CF">
      <w:pPr>
        <w:pStyle w:val="NormalWeb"/>
      </w:pPr>
      <w:r>
        <w:t>Our payoff characterization turns on coalitions' incentive alignment. Across games with and without transferable utility, an aligned coalition can act as a single decision maker, so its members must receive their corresponding coalitional minmax payoffs. When members’ incentives diverge, scapegoat schemes can divide a deviating coalition by selectively punishing one member. In that case, only individual minmax bounds matter, even when coalitions can deviate. Without transfers, alignment is determined by preferences. With transferable utility, it depends on observability: transfers align a coalition’s incentives only when they can be made privately. Thus, observability—not transferability itself—determines whether dynamic punishments can divide coalitions.</w:t>
      </w:r>
    </w:p>
    <w:p w14:paraId="0F98868A" w14:textId="77777777" w:rsidR="005A72CF" w:rsidRDefault="005A72CF" w:rsidP="005A72CF">
      <w:pPr>
        <w:pStyle w:val="NormalWeb"/>
      </w:pPr>
      <w:r>
        <w:t>The paper also establishes structural results at finite patience. In a broad class of coalitional games, every PCE payoff can be supported by a stationary PCE. We also show that symmetric continuation play can align incentives so tightly that it eliminates dynamic enforcement, providing a new rationale for asymmetric punishments in repeated games.</w:t>
      </w:r>
    </w:p>
    <w:p w14:paraId="5B197BA7" w14:textId="37587BEB" w:rsidR="00D576C3" w:rsidRDefault="005A72CF" w:rsidP="006C3719">
      <w:pPr>
        <w:pStyle w:val="NormalWeb"/>
      </w:pPr>
      <w:r>
        <w:t xml:space="preserve">Finally, the framework yields policy predictions about who benefits from wage transparency. The answer depends on how quickly the marginal product of labor declines. When it declines rapidly, transparency benefits workers at firms’ expense; when it declines slowly, transparency </w:t>
      </w:r>
      <w:r>
        <w:lastRenderedPageBreak/>
        <w:t>can benefit firms at workers’ expense. Its distributional effects therefore depend on the underlying production technology.</w:t>
      </w:r>
    </w:p>
    <w:p w14:paraId="01F30655" w14:textId="0FB9DF0C" w:rsidR="008C2E18" w:rsidRDefault="00000000">
      <w:pPr>
        <w:pStyle w:val="NormalWeb"/>
        <w:jc w:val="both"/>
      </w:pPr>
      <w:r>
        <w:t xml:space="preserve">My </w:t>
      </w:r>
      <w:r w:rsidR="006C3719">
        <w:t>other papers</w:t>
      </w:r>
      <w:r>
        <w:t xml:space="preserve"> within this broader agenda focused on two-sided matching. </w:t>
      </w:r>
      <w:r w:rsidR="006A163F">
        <w:t>The classic approach to studying c</w:t>
      </w:r>
      <w:r>
        <w:t>ollege admissions, hospital–resident matching, and entry-level hiring</w:t>
      </w:r>
      <w:r w:rsidR="006A163F">
        <w:t xml:space="preserve"> is to treat these markets as one-shot interactions. However, hiring in these markets</w:t>
      </w:r>
      <w:r>
        <w:t xml:space="preserve"> </w:t>
      </w:r>
      <w:r w:rsidR="006A163F">
        <w:t xml:space="preserve">often </w:t>
      </w:r>
      <w:r w:rsidR="0087749B">
        <w:t>feature</w:t>
      </w:r>
      <w:r>
        <w:t xml:space="preserve"> long-lived organizations interact</w:t>
      </w:r>
      <w:r w:rsidR="0087749B">
        <w:t>ing</w:t>
      </w:r>
      <w:r>
        <w:t xml:space="preserve"> with new cohorts of short-lived participants. </w:t>
      </w:r>
      <w:r w:rsidR="008A18AD">
        <w:t>The existing approach therefore</w:t>
      </w:r>
      <w:r>
        <w:t xml:space="preserve"> misses the possibility that future consequences can serve as carrots and sticks for the long-lived side</w:t>
      </w:r>
      <w:r w:rsidR="008A18AD">
        <w:t xml:space="preserve"> of the market</w:t>
      </w:r>
      <w:r>
        <w:t>.</w:t>
      </w:r>
    </w:p>
    <w:p w14:paraId="63469C1B" w14:textId="77777777" w:rsidR="008C2E18" w:rsidRDefault="00000000">
      <w:pPr>
        <w:pStyle w:val="NormalWeb"/>
        <w:jc w:val="both"/>
      </w:pPr>
      <w:r>
        <w:t>In “Stability in Repeated Matching Markets” (</w:t>
      </w:r>
      <w:r>
        <w:rPr>
          <w:i/>
        </w:rPr>
        <w:t>Theoretical Economics</w:t>
      </w:r>
      <w:r>
        <w:t>, November 2023), I develop a framework with long-lived firms and short-lived workers and define a self-enforcing matching process that generalizes static stability to this repeated environment. The results separate firms into two groups. Firms in the top-coalition sequence are “untouchable”: at every patience level, they must receive the same assignments and payoffs as in static stable matchings. For the remaining firms, sufficiently patient repetition and history dependence greatly enlarge the set of sustainable payoffs. In large markets with correlated preferences, the untouchable firms are the elite firms and make up at most a vanishingly small fraction of the market.</w:t>
      </w:r>
    </w:p>
    <w:p w14:paraId="26DF9E9D" w14:textId="77777777" w:rsidR="008C2E18" w:rsidRDefault="00000000">
      <w:pPr>
        <w:pStyle w:val="NormalWeb"/>
        <w:jc w:val="both"/>
      </w:pPr>
      <w:r>
        <w:t>This distinction also refines the Rural Hospital Theorem. In a static market, a firm that leaves positions unfilled at one stable matching is assigned the same workers at every stable matching. In the repeated environment, that invariance need not survive for an under-demanded “rural” firm: as firms become patient, history-dependent incentives can change the workers assigned to every firm outside the top-coalition sequence. The binding limitation comes from a firm’s elite position, not from underfilling itself. For market design, this identifies which assignments genuinely cannot be moved by dynamic incentives and which organizations can instead be disciplined through future consequences.</w:t>
      </w:r>
    </w:p>
    <w:p w14:paraId="7D394D1F" w14:textId="32CB07DB" w:rsidR="007D0CC9" w:rsidRDefault="00000000" w:rsidP="009C1106">
      <w:pPr>
        <w:pStyle w:val="NormalWeb"/>
        <w:jc w:val="both"/>
      </w:pPr>
      <w:r>
        <w:t xml:space="preserve">“Self-Enforced Job Matching” (with Ziwei Wang and Hanzhe Zhang, </w:t>
      </w:r>
      <w:r>
        <w:rPr>
          <w:i/>
        </w:rPr>
        <w:t>American Economic Journal: Microeconomics</w:t>
      </w:r>
      <w:r>
        <w:t xml:space="preserve">, May 2026) </w:t>
      </w:r>
      <w:r w:rsidR="009C1106">
        <w:t xml:space="preserve">extends this agenda to matching markets with individually negotiated wages. Complementarities among workers and peer effects can cause static stable matchings to fail to exist. We show that when wages are flexible and firms are sufficiently patient, a dynamically stable matching process nevertheless exists, without restrictions on market size and despite these complementarities and peer effects. The result highlights the role of flexible wages—or, more generally, flexible prices—in sustaining stability </w:t>
      </w:r>
      <w:r w:rsidR="009C1106">
        <w:t xml:space="preserve">in matching markets </w:t>
      </w:r>
      <w:r w:rsidR="009C1106">
        <w:t>and helps explain why matching markets with flexible wages are less prone to unraveling.</w:t>
      </w:r>
    </w:p>
    <w:p w14:paraId="5BC77D97" w14:textId="73C6A091" w:rsidR="008C2E18" w:rsidRPr="00843ABC" w:rsidRDefault="00751EE7" w:rsidP="00843ABC">
      <w:pPr>
        <w:pStyle w:val="NormalWeb"/>
        <w:jc w:val="center"/>
        <w:rPr>
          <w:b/>
          <w:bCs/>
        </w:rPr>
      </w:pPr>
      <w:r w:rsidRPr="00843ABC">
        <w:rPr>
          <w:b/>
          <w:bCs/>
        </w:rPr>
        <w:t xml:space="preserve">II. </w:t>
      </w:r>
      <w:r w:rsidR="00000000" w:rsidRPr="00843ABC">
        <w:rPr>
          <w:b/>
          <w:bCs/>
        </w:rPr>
        <w:t>Information Economics</w:t>
      </w:r>
    </w:p>
    <w:p w14:paraId="688D09E8" w14:textId="51CE9BC9" w:rsidR="00EF41DA" w:rsidRPr="003B7A41" w:rsidRDefault="00EF41DA" w:rsidP="00EF41DA">
      <w:pPr>
        <w:pStyle w:val="NormalWeb"/>
        <w:jc w:val="both"/>
        <w:rPr>
          <w:rFonts w:ascii="TimesNewRomanPSMT" w:hAnsi="TimesNewRomanPSMT"/>
        </w:rPr>
      </w:pPr>
      <w:r>
        <w:rPr>
          <w:rFonts w:ascii="TimesNewRomanPSMT" w:hAnsi="TimesNewRomanPSMT"/>
        </w:rPr>
        <w:t>While e</w:t>
      </w:r>
      <w:r w:rsidRPr="00025454">
        <w:rPr>
          <w:rFonts w:ascii="TimesNewRomanPSMT" w:hAnsi="TimesNewRomanPSMT"/>
        </w:rPr>
        <w:t xml:space="preserve">conomists have </w:t>
      </w:r>
      <w:r>
        <w:rPr>
          <w:rFonts w:ascii="TimesNewRomanPSMT" w:hAnsi="TimesNewRomanPSMT"/>
        </w:rPr>
        <w:t xml:space="preserve">long </w:t>
      </w:r>
      <w:r w:rsidRPr="00025454">
        <w:rPr>
          <w:rFonts w:ascii="TimesNewRomanPSMT" w:hAnsi="TimesNewRomanPSMT"/>
        </w:rPr>
        <w:t xml:space="preserve">been </w:t>
      </w:r>
      <w:r>
        <w:rPr>
          <w:rFonts w:ascii="TimesNewRomanPSMT" w:hAnsi="TimesNewRomanPSMT"/>
        </w:rPr>
        <w:t>interested in</w:t>
      </w:r>
      <w:r w:rsidRPr="00025454">
        <w:rPr>
          <w:rFonts w:ascii="TimesNewRomanPSMT" w:hAnsi="TimesNewRomanPSMT"/>
        </w:rPr>
        <w:t xml:space="preserve"> understand</w:t>
      </w:r>
      <w:r>
        <w:rPr>
          <w:rFonts w:ascii="TimesNewRomanPSMT" w:hAnsi="TimesNewRomanPSMT"/>
        </w:rPr>
        <w:t>ing</w:t>
      </w:r>
      <w:r w:rsidRPr="00025454">
        <w:rPr>
          <w:rFonts w:ascii="TimesNewRomanPSMT" w:hAnsi="TimesNewRomanPSMT"/>
        </w:rPr>
        <w:t xml:space="preserve"> how </w:t>
      </w:r>
      <w:r>
        <w:rPr>
          <w:rFonts w:ascii="TimesNewRomanPSMT" w:hAnsi="TimesNewRomanPSMT"/>
        </w:rPr>
        <w:t xml:space="preserve">information shapes </w:t>
      </w:r>
      <w:r w:rsidRPr="00025454">
        <w:rPr>
          <w:rFonts w:ascii="TimesNewRomanPSMT" w:hAnsi="TimesNewRomanPSMT"/>
        </w:rPr>
        <w:t>incentives</w:t>
      </w:r>
      <w:r>
        <w:rPr>
          <w:rFonts w:ascii="TimesNewRomanPSMT" w:hAnsi="TimesNewRomanPSMT"/>
        </w:rPr>
        <w:t>, i</w:t>
      </w:r>
      <w:r w:rsidRPr="00025454">
        <w:rPr>
          <w:rFonts w:ascii="TimesNewRomanPSMT" w:hAnsi="TimesNewRomanPSMT"/>
        </w:rPr>
        <w:t xml:space="preserve">n the last decade, Bayesian Persuasion </w:t>
      </w:r>
      <w:r>
        <w:rPr>
          <w:rFonts w:ascii="TimesNewRomanPSMT" w:hAnsi="TimesNewRomanPSMT"/>
        </w:rPr>
        <w:t xml:space="preserve">has emerged as </w:t>
      </w:r>
      <w:r>
        <w:rPr>
          <w:rFonts w:ascii="TimesNewRomanPSMT" w:hAnsi="TimesNewRomanPSMT"/>
        </w:rPr>
        <w:t>a</w:t>
      </w:r>
      <w:r>
        <w:rPr>
          <w:rFonts w:ascii="TimesNewRomanPSMT" w:hAnsi="TimesNewRomanPSMT"/>
        </w:rPr>
        <w:t xml:space="preserve"> central model for </w:t>
      </w:r>
      <w:r w:rsidRPr="00025454">
        <w:rPr>
          <w:rFonts w:ascii="TimesNewRomanPSMT" w:hAnsi="TimesNewRomanPSMT"/>
        </w:rPr>
        <w:t>understand</w:t>
      </w:r>
      <w:r>
        <w:rPr>
          <w:rFonts w:ascii="TimesNewRomanPSMT" w:hAnsi="TimesNewRomanPSMT"/>
        </w:rPr>
        <w:t xml:space="preserve">ing how incentives can in turn determine </w:t>
      </w:r>
      <w:r w:rsidRPr="00025454">
        <w:rPr>
          <w:rFonts w:ascii="TimesNewRomanPSMT" w:hAnsi="TimesNewRomanPSMT"/>
        </w:rPr>
        <w:t>what kind of information gets disclosed from the informed party</w:t>
      </w:r>
      <w:r>
        <w:rPr>
          <w:rFonts w:ascii="TimesNewRomanPSMT" w:hAnsi="TimesNewRomanPSMT"/>
        </w:rPr>
        <w:t xml:space="preserve"> </w:t>
      </w:r>
      <w:r w:rsidRPr="00025454">
        <w:rPr>
          <w:rFonts w:ascii="TimesNewRomanPSMT" w:hAnsi="TimesNewRomanPSMT"/>
        </w:rPr>
        <w:t>to the uninformed.</w:t>
      </w:r>
      <w:r>
        <w:rPr>
          <w:rFonts w:ascii="TimesNewRomanPSMT" w:hAnsi="TimesNewRomanPSMT"/>
        </w:rPr>
        <w:t xml:space="preserve"> </w:t>
      </w:r>
      <w:r w:rsidRPr="00025454">
        <w:rPr>
          <w:rFonts w:ascii="TimesNewRomanPSMT" w:hAnsi="TimesNewRomanPSMT"/>
        </w:rPr>
        <w:t xml:space="preserve">However, </w:t>
      </w:r>
      <w:r>
        <w:rPr>
          <w:rFonts w:ascii="TimesNewRomanPSMT" w:hAnsi="TimesNewRomanPSMT"/>
        </w:rPr>
        <w:t xml:space="preserve">the </w:t>
      </w:r>
      <w:r>
        <w:rPr>
          <w:rFonts w:ascii="TimesNewRomanPSMT" w:hAnsi="TimesNewRomanPSMT"/>
        </w:rPr>
        <w:t xml:space="preserve">classic </w:t>
      </w:r>
      <w:r>
        <w:rPr>
          <w:rFonts w:ascii="TimesNewRomanPSMT" w:hAnsi="TimesNewRomanPSMT"/>
        </w:rPr>
        <w:t xml:space="preserve">Bayesian Persuasion model assumes that the informed party has full commitment power when designing their disclosure policy, </w:t>
      </w:r>
      <w:proofErr w:type="gramStart"/>
      <w:r>
        <w:rPr>
          <w:rFonts w:ascii="TimesNewRomanPSMT" w:hAnsi="TimesNewRomanPSMT"/>
        </w:rPr>
        <w:t>when in reality,</w:t>
      </w:r>
      <w:proofErr w:type="gramEnd"/>
      <w:r>
        <w:rPr>
          <w:rFonts w:ascii="TimesNewRomanPSMT" w:hAnsi="TimesNewRomanPSMT"/>
        </w:rPr>
        <w:t xml:space="preserve"> the informed party often has strong incentives to distort and misrepresent its information. My paper </w:t>
      </w:r>
      <w:r w:rsidRPr="00C063F4">
        <w:rPr>
          <w:rFonts w:ascii="TimesNewRomanPSMT" w:hAnsi="TimesNewRomanPSMT"/>
          <w:color w:val="000000" w:themeColor="text1"/>
        </w:rPr>
        <w:t xml:space="preserve">“Credible Persuasion” </w:t>
      </w:r>
      <w:r>
        <w:t xml:space="preserve">(with Xiao Lin, </w:t>
      </w:r>
      <w:r>
        <w:rPr>
          <w:i/>
        </w:rPr>
        <w:t>Journal of Political Economy</w:t>
      </w:r>
      <w:r>
        <w:t xml:space="preserve">, July 2024) </w:t>
      </w:r>
      <w:r w:rsidRPr="00C063F4">
        <w:rPr>
          <w:rFonts w:ascii="TimesNewRomanPSMT" w:hAnsi="TimesNewRomanPSMT"/>
          <w:color w:val="000000" w:themeColor="text1"/>
        </w:rPr>
        <w:t xml:space="preserve">addresses </w:t>
      </w:r>
      <w:r w:rsidRPr="00025454">
        <w:rPr>
          <w:rFonts w:ascii="TimesNewRomanPSMT" w:hAnsi="TimesNewRomanPSMT"/>
        </w:rPr>
        <w:t xml:space="preserve">this </w:t>
      </w:r>
      <w:r w:rsidRPr="00025454">
        <w:rPr>
          <w:rFonts w:ascii="TimesNewRomanPSMT" w:hAnsi="TimesNewRomanPSMT"/>
        </w:rPr>
        <w:lastRenderedPageBreak/>
        <w:t xml:space="preserve">question by introducing a </w:t>
      </w:r>
      <w:r>
        <w:rPr>
          <w:rFonts w:ascii="TimesNewRomanPSMT" w:hAnsi="TimesNewRomanPSMT"/>
        </w:rPr>
        <w:t xml:space="preserve">framework to study and characterize the credibility of information disclosure. </w:t>
      </w:r>
      <w:r w:rsidRPr="0059285C">
        <w:rPr>
          <w:rFonts w:ascii="TimesNewRomanPSMT" w:hAnsi="TimesNewRomanPSMT"/>
        </w:rPr>
        <w:t xml:space="preserve">In contrast to standard Bayesian persuasion, </w:t>
      </w:r>
      <w:r>
        <w:rPr>
          <w:rFonts w:ascii="TimesNewRomanPSMT" w:hAnsi="TimesNewRomanPSMT"/>
        </w:rPr>
        <w:t>in our setting the informed party</w:t>
      </w:r>
      <w:r w:rsidRPr="0059285C">
        <w:rPr>
          <w:rFonts w:ascii="TimesNewRomanPSMT" w:hAnsi="TimesNewRomanPSMT"/>
        </w:rPr>
        <w:t xml:space="preserve"> cannot commit to a disclosure policy</w:t>
      </w:r>
      <w:r>
        <w:rPr>
          <w:rFonts w:ascii="TimesNewRomanPSMT" w:hAnsi="TimesNewRomanPSMT"/>
        </w:rPr>
        <w:t xml:space="preserve"> and may “cheat”</w:t>
      </w:r>
      <w:r w:rsidRPr="0059285C">
        <w:rPr>
          <w:rFonts w:ascii="TimesNewRomanPSMT" w:hAnsi="TimesNewRomanPSMT"/>
        </w:rPr>
        <w:t xml:space="preserve">; however, to avoid detection, she must keep the final message distribution unchanged when deviating from her disclosure policy. </w:t>
      </w:r>
    </w:p>
    <w:p w14:paraId="05C1F748" w14:textId="77777777" w:rsidR="00EF41DA" w:rsidRPr="00D25889" w:rsidRDefault="00EF41DA" w:rsidP="00EF41DA">
      <w:pPr>
        <w:pStyle w:val="NormalWeb"/>
        <w:jc w:val="both"/>
        <w:rPr>
          <w:rFonts w:ascii="TimesNewRomanPSMT" w:hAnsi="TimesNewRomanPSMT"/>
        </w:rPr>
      </w:pPr>
      <w:r>
        <w:rPr>
          <w:rFonts w:ascii="TimesNewRomanPSMT" w:hAnsi="TimesNewRomanPSMT"/>
        </w:rPr>
        <w:t>We</w:t>
      </w:r>
      <w:r w:rsidRPr="00025454">
        <w:rPr>
          <w:rFonts w:ascii="TimesNewRomanPSMT" w:hAnsi="TimesNewRomanPSMT"/>
        </w:rPr>
        <w:t xml:space="preserve"> </w:t>
      </w:r>
      <w:r>
        <w:rPr>
          <w:rFonts w:ascii="TimesNewRomanPSMT" w:hAnsi="TimesNewRomanPSMT"/>
        </w:rPr>
        <w:t>discover</w:t>
      </w:r>
      <w:r w:rsidRPr="00025454">
        <w:rPr>
          <w:rFonts w:ascii="TimesNewRomanPSMT" w:hAnsi="TimesNewRomanPSMT"/>
        </w:rPr>
        <w:t xml:space="preserve"> that the credibility of the disclosing party is characterized by a </w:t>
      </w:r>
      <w:r>
        <w:rPr>
          <w:rFonts w:ascii="TimesNewRomanPSMT" w:hAnsi="TimesNewRomanPSMT"/>
        </w:rPr>
        <w:t>condition</w:t>
      </w:r>
      <w:r w:rsidRPr="00025454">
        <w:rPr>
          <w:rFonts w:ascii="TimesNewRomanPSMT" w:hAnsi="TimesNewRomanPSMT"/>
        </w:rPr>
        <w:t xml:space="preserve"> known as "cyclical monotonicity</w:t>
      </w:r>
      <w:r>
        <w:rPr>
          <w:rFonts w:ascii="TimesNewRomanPSMT" w:hAnsi="TimesNewRomanPSMT"/>
        </w:rPr>
        <w:t>,</w:t>
      </w:r>
      <w:r w:rsidRPr="00025454">
        <w:rPr>
          <w:rFonts w:ascii="TimesNewRomanPSMT" w:hAnsi="TimesNewRomanPSMT"/>
        </w:rPr>
        <w:t>"</w:t>
      </w:r>
      <w:r>
        <w:rPr>
          <w:rFonts w:ascii="TimesNewRomanPSMT" w:hAnsi="TimesNewRomanPSMT"/>
        </w:rPr>
        <w:t xml:space="preserve"> which is closely related to the condition characterizing </w:t>
      </w:r>
      <w:proofErr w:type="spellStart"/>
      <w:r>
        <w:rPr>
          <w:rFonts w:ascii="TimesNewRomanPSMT" w:hAnsi="TimesNewRomanPSMT"/>
        </w:rPr>
        <w:t>implementability</w:t>
      </w:r>
      <w:proofErr w:type="spellEnd"/>
      <w:r>
        <w:rPr>
          <w:rFonts w:ascii="TimesNewRomanPSMT" w:hAnsi="TimesNewRomanPSMT"/>
        </w:rPr>
        <w:t xml:space="preserve"> by transfers in mechanism design. Our</w:t>
      </w:r>
      <w:r w:rsidRPr="00025454">
        <w:rPr>
          <w:rFonts w:ascii="TimesNewRomanPSMT" w:hAnsi="TimesNewRomanPSMT"/>
        </w:rPr>
        <w:t xml:space="preserve"> approach not only offers a test for the credibility of any disclosure </w:t>
      </w:r>
      <w:proofErr w:type="gramStart"/>
      <w:r w:rsidRPr="00025454">
        <w:rPr>
          <w:rFonts w:ascii="TimesNewRomanPSMT" w:hAnsi="TimesNewRomanPSMT"/>
        </w:rPr>
        <w:t>policy, but</w:t>
      </w:r>
      <w:proofErr w:type="gramEnd"/>
      <w:r w:rsidRPr="00025454">
        <w:rPr>
          <w:rFonts w:ascii="TimesNewRomanPSMT" w:hAnsi="TimesNewRomanPSMT"/>
        </w:rPr>
        <w:t xml:space="preserve"> also bridges abstract mathematical conditions with the heuristics that consumers and firms observe in the real world. </w:t>
      </w:r>
      <w:r>
        <w:rPr>
          <w:rFonts w:ascii="TimesNewRomanPSMT" w:hAnsi="TimesNewRomanPSMT"/>
        </w:rPr>
        <w:t xml:space="preserve">Using this result, we </w:t>
      </w:r>
      <w:proofErr w:type="gramStart"/>
      <w:r>
        <w:rPr>
          <w:rFonts w:ascii="TimesNewRomanPSMT" w:hAnsi="TimesNewRomanPSMT"/>
        </w:rPr>
        <w:t>are able to</w:t>
      </w:r>
      <w:proofErr w:type="gramEnd"/>
      <w:r>
        <w:rPr>
          <w:rFonts w:ascii="TimesNewRomanPSMT" w:hAnsi="TimesNewRomanPSMT"/>
        </w:rPr>
        <w:t xml:space="preserve"> characterize the scope for credible information disclosure in a variety of economic settings. One particularly important environment is that of adverse selection. We show that in the classic setting of market for lemons, it is impossible for the seller to disclose information about quality to the buyers using any internal rating system. This provides a rationale for why buyers and sellers in these markets frequently </w:t>
      </w:r>
      <w:proofErr w:type="gramStart"/>
      <w:r>
        <w:rPr>
          <w:rFonts w:ascii="TimesNewRomanPSMT" w:hAnsi="TimesNewRomanPSMT"/>
        </w:rPr>
        <w:t>have to</w:t>
      </w:r>
      <w:proofErr w:type="gramEnd"/>
      <w:r>
        <w:rPr>
          <w:rFonts w:ascii="TimesNewRomanPSMT" w:hAnsi="TimesNewRomanPSMT"/>
        </w:rPr>
        <w:t xml:space="preserve"> rely on alternative means, such as third-party certification or warranty, to address the inefficiencies from asymmetric information.</w:t>
      </w:r>
    </w:p>
    <w:p w14:paraId="7C639AAB" w14:textId="77777777" w:rsidR="008C2E18" w:rsidRDefault="00000000">
      <w:pPr>
        <w:pStyle w:val="NormalWeb"/>
        <w:jc w:val="both"/>
      </w:pPr>
      <w:r>
        <w:t xml:space="preserve">My interest in information economics originated earlier in “Costly Information Acquisition” (with Christopher P. Chambers and John Rehbeck, </w:t>
      </w:r>
      <w:r>
        <w:rPr>
          <w:i/>
        </w:rPr>
        <w:t>Journal of Economic Theory</w:t>
      </w:r>
      <w:r>
        <w:t>, March 2020). We bring revealed-preference methods to models in which a decision maker chooses what information to acquire before acting. Using observed state-dependent stochastic choices, we characterize nonseparable, multiplicative, and constrained models of costly information acquisition. This allows the cost of information to interact with the payoff from a decision—for example, when waiting for information delays the realization of profits—rather than imposing an additively separable or fixed parametric cost. The paper translates these models into observable restrictions and connects the analysis of information acquisition to the duality methods of classical consumer theory.</w:t>
      </w:r>
    </w:p>
    <w:p w14:paraId="143188A9" w14:textId="1780C024" w:rsidR="008C2E18" w:rsidRPr="00F320D9" w:rsidRDefault="00F320D9" w:rsidP="00484D0E">
      <w:pPr>
        <w:pStyle w:val="NormalWeb"/>
        <w:keepNext/>
        <w:jc w:val="center"/>
        <w:rPr>
          <w:b/>
          <w:bCs/>
          <w:iCs/>
        </w:rPr>
      </w:pPr>
      <w:r>
        <w:rPr>
          <w:b/>
          <w:bCs/>
          <w:iCs/>
        </w:rPr>
        <w:t xml:space="preserve">III. </w:t>
      </w:r>
      <w:r w:rsidR="00484D0E" w:rsidRPr="00F320D9">
        <w:rPr>
          <w:b/>
          <w:bCs/>
          <w:iCs/>
        </w:rPr>
        <w:t>Revealed Preference</w:t>
      </w:r>
      <w:r w:rsidR="00000000" w:rsidRPr="00F320D9">
        <w:rPr>
          <w:b/>
          <w:bCs/>
          <w:iCs/>
        </w:rPr>
        <w:t xml:space="preserve"> Theory</w:t>
      </w:r>
    </w:p>
    <w:p w14:paraId="4B547C82" w14:textId="77777777" w:rsidR="008C2E18" w:rsidRDefault="00000000">
      <w:pPr>
        <w:pStyle w:val="NormalWeb"/>
        <w:jc w:val="both"/>
      </w:pPr>
      <w:r>
        <w:t xml:space="preserve">Earlier in my academic career, beginning in graduate school, I worked on decision theory and especially on revealed preference, which tests economic models using observed market choices. In “A Test for Risk-Averse Expected Utility” (with Christopher P. Chambers and Seung-Keun Martinez, </w:t>
      </w:r>
      <w:r>
        <w:rPr>
          <w:i/>
        </w:rPr>
        <w:t>Journal of Economic Theory</w:t>
      </w:r>
      <w:r>
        <w:t>, May 2016), we developed a universal condition for rationalizability by risk-averse expected utility in a demand setting with multiple commodities. The condition is a demand-based counterpart to Fishburn’s classical test and expresses the empirical content of expected utility and risk aversion directly in terms of observable choices rather than unobserved utility functions.</w:t>
      </w:r>
    </w:p>
    <w:sectPr w:rsidR="008C2E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D14F56"/>
    <w:multiLevelType w:val="hybridMultilevel"/>
    <w:tmpl w:val="9B5486A4"/>
    <w:lvl w:ilvl="0" w:tplc="3AAEB5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47496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B"/>
    <w:rsid w:val="00025454"/>
    <w:rsid w:val="000921AC"/>
    <w:rsid w:val="000A3343"/>
    <w:rsid w:val="000A66AD"/>
    <w:rsid w:val="000B0571"/>
    <w:rsid w:val="000B43FF"/>
    <w:rsid w:val="00111DED"/>
    <w:rsid w:val="0012552A"/>
    <w:rsid w:val="00154F64"/>
    <w:rsid w:val="001669B2"/>
    <w:rsid w:val="001832B3"/>
    <w:rsid w:val="00194AB6"/>
    <w:rsid w:val="001B69A4"/>
    <w:rsid w:val="001C71A3"/>
    <w:rsid w:val="001D5AE6"/>
    <w:rsid w:val="001F16CB"/>
    <w:rsid w:val="001F5479"/>
    <w:rsid w:val="00217E1F"/>
    <w:rsid w:val="00250A5D"/>
    <w:rsid w:val="002704E1"/>
    <w:rsid w:val="0027144D"/>
    <w:rsid w:val="00281A24"/>
    <w:rsid w:val="00292CE1"/>
    <w:rsid w:val="002E4087"/>
    <w:rsid w:val="002E4EF6"/>
    <w:rsid w:val="002E72DC"/>
    <w:rsid w:val="002F38F3"/>
    <w:rsid w:val="002F5638"/>
    <w:rsid w:val="00314A47"/>
    <w:rsid w:val="0036508E"/>
    <w:rsid w:val="00386F33"/>
    <w:rsid w:val="003A060B"/>
    <w:rsid w:val="003B7A41"/>
    <w:rsid w:val="003D1536"/>
    <w:rsid w:val="003E3136"/>
    <w:rsid w:val="004606C0"/>
    <w:rsid w:val="00462CE7"/>
    <w:rsid w:val="00480A6B"/>
    <w:rsid w:val="00483044"/>
    <w:rsid w:val="00484D0E"/>
    <w:rsid w:val="004A0D9A"/>
    <w:rsid w:val="004C58D1"/>
    <w:rsid w:val="004C69F5"/>
    <w:rsid w:val="004C707B"/>
    <w:rsid w:val="004D0E59"/>
    <w:rsid w:val="00502DE9"/>
    <w:rsid w:val="00511946"/>
    <w:rsid w:val="005172CB"/>
    <w:rsid w:val="0054125B"/>
    <w:rsid w:val="005458C1"/>
    <w:rsid w:val="00550A80"/>
    <w:rsid w:val="005844C6"/>
    <w:rsid w:val="00587694"/>
    <w:rsid w:val="00587E0F"/>
    <w:rsid w:val="0059285C"/>
    <w:rsid w:val="005A72CF"/>
    <w:rsid w:val="005F0855"/>
    <w:rsid w:val="005F5DA3"/>
    <w:rsid w:val="006065A0"/>
    <w:rsid w:val="00607856"/>
    <w:rsid w:val="006116BB"/>
    <w:rsid w:val="0063175A"/>
    <w:rsid w:val="00646DC7"/>
    <w:rsid w:val="00647990"/>
    <w:rsid w:val="00651A78"/>
    <w:rsid w:val="00662E8E"/>
    <w:rsid w:val="006647C8"/>
    <w:rsid w:val="00670BDE"/>
    <w:rsid w:val="00684216"/>
    <w:rsid w:val="00685C4E"/>
    <w:rsid w:val="006A163F"/>
    <w:rsid w:val="006A34D7"/>
    <w:rsid w:val="006B3E3C"/>
    <w:rsid w:val="006C16EC"/>
    <w:rsid w:val="006C3719"/>
    <w:rsid w:val="006C4B6D"/>
    <w:rsid w:val="006D1EF4"/>
    <w:rsid w:val="006D27E2"/>
    <w:rsid w:val="006D508E"/>
    <w:rsid w:val="006E3C69"/>
    <w:rsid w:val="006E6780"/>
    <w:rsid w:val="007057E2"/>
    <w:rsid w:val="00743F8E"/>
    <w:rsid w:val="00751EE7"/>
    <w:rsid w:val="0078009C"/>
    <w:rsid w:val="00780CE1"/>
    <w:rsid w:val="00786DCD"/>
    <w:rsid w:val="007D0CC9"/>
    <w:rsid w:val="007F64DA"/>
    <w:rsid w:val="008114BD"/>
    <w:rsid w:val="00814BC2"/>
    <w:rsid w:val="00815067"/>
    <w:rsid w:val="008174DE"/>
    <w:rsid w:val="008218F9"/>
    <w:rsid w:val="00827EA1"/>
    <w:rsid w:val="00843ABC"/>
    <w:rsid w:val="00861B7C"/>
    <w:rsid w:val="00867952"/>
    <w:rsid w:val="00871E21"/>
    <w:rsid w:val="0087749B"/>
    <w:rsid w:val="008A185A"/>
    <w:rsid w:val="008A18AD"/>
    <w:rsid w:val="008A7920"/>
    <w:rsid w:val="008C2E18"/>
    <w:rsid w:val="008D6694"/>
    <w:rsid w:val="008D739A"/>
    <w:rsid w:val="008E4322"/>
    <w:rsid w:val="00911EEE"/>
    <w:rsid w:val="009131BA"/>
    <w:rsid w:val="00952DFD"/>
    <w:rsid w:val="00972834"/>
    <w:rsid w:val="009B35BA"/>
    <w:rsid w:val="009C1106"/>
    <w:rsid w:val="009D006F"/>
    <w:rsid w:val="009D5F2E"/>
    <w:rsid w:val="009F2BF9"/>
    <w:rsid w:val="009F5CAE"/>
    <w:rsid w:val="00A13A82"/>
    <w:rsid w:val="00A16B26"/>
    <w:rsid w:val="00A2155B"/>
    <w:rsid w:val="00A26307"/>
    <w:rsid w:val="00A27275"/>
    <w:rsid w:val="00A47DB5"/>
    <w:rsid w:val="00A65F84"/>
    <w:rsid w:val="00A97169"/>
    <w:rsid w:val="00AB15A3"/>
    <w:rsid w:val="00AC4251"/>
    <w:rsid w:val="00AD0EEB"/>
    <w:rsid w:val="00AD4426"/>
    <w:rsid w:val="00AF36CD"/>
    <w:rsid w:val="00AF4BF2"/>
    <w:rsid w:val="00AF5628"/>
    <w:rsid w:val="00AF7A21"/>
    <w:rsid w:val="00B20F77"/>
    <w:rsid w:val="00B2666B"/>
    <w:rsid w:val="00B6119B"/>
    <w:rsid w:val="00B92093"/>
    <w:rsid w:val="00BB7144"/>
    <w:rsid w:val="00BF3A77"/>
    <w:rsid w:val="00C22CFE"/>
    <w:rsid w:val="00C56661"/>
    <w:rsid w:val="00C57E87"/>
    <w:rsid w:val="00C74A3F"/>
    <w:rsid w:val="00C8163B"/>
    <w:rsid w:val="00CA22A1"/>
    <w:rsid w:val="00CA5888"/>
    <w:rsid w:val="00CD1729"/>
    <w:rsid w:val="00CE0267"/>
    <w:rsid w:val="00D03456"/>
    <w:rsid w:val="00D15EE6"/>
    <w:rsid w:val="00D179F7"/>
    <w:rsid w:val="00D36F1E"/>
    <w:rsid w:val="00D56AC4"/>
    <w:rsid w:val="00D576C3"/>
    <w:rsid w:val="00D649FB"/>
    <w:rsid w:val="00D679B8"/>
    <w:rsid w:val="00DB6DCA"/>
    <w:rsid w:val="00DC508B"/>
    <w:rsid w:val="00DC7CD0"/>
    <w:rsid w:val="00E62942"/>
    <w:rsid w:val="00EA7D24"/>
    <w:rsid w:val="00EE2B6D"/>
    <w:rsid w:val="00EF41DA"/>
    <w:rsid w:val="00F015E6"/>
    <w:rsid w:val="00F06C0E"/>
    <w:rsid w:val="00F06C90"/>
    <w:rsid w:val="00F26547"/>
    <w:rsid w:val="00F320D9"/>
    <w:rsid w:val="00F721DD"/>
    <w:rsid w:val="00F726B4"/>
    <w:rsid w:val="00F752D8"/>
    <w:rsid w:val="00F8201C"/>
    <w:rsid w:val="00FD0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53FE147"/>
  <w15:chartTrackingRefBased/>
  <w15:docId w15:val="{5E869900-F0B7-AC46-A49C-1D786D44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060B"/>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3442381">
      <w:bodyDiv w:val="1"/>
      <w:marLeft w:val="0"/>
      <w:marRight w:val="0"/>
      <w:marTop w:val="0"/>
      <w:marBottom w:val="0"/>
      <w:divBdr>
        <w:top w:val="none" w:sz="0" w:space="0" w:color="auto"/>
        <w:left w:val="none" w:sz="0" w:space="0" w:color="auto"/>
        <w:bottom w:val="none" w:sz="0" w:space="0" w:color="auto"/>
        <w:right w:val="none" w:sz="0" w:space="0" w:color="auto"/>
      </w:divBdr>
      <w:divsChild>
        <w:div w:id="1195461288">
          <w:marLeft w:val="0"/>
          <w:marRight w:val="0"/>
          <w:marTop w:val="0"/>
          <w:marBottom w:val="0"/>
          <w:divBdr>
            <w:top w:val="none" w:sz="0" w:space="0" w:color="auto"/>
            <w:left w:val="none" w:sz="0" w:space="0" w:color="auto"/>
            <w:bottom w:val="none" w:sz="0" w:space="0" w:color="auto"/>
            <w:right w:val="none" w:sz="0" w:space="0" w:color="auto"/>
          </w:divBdr>
          <w:divsChild>
            <w:div w:id="2036540182">
              <w:marLeft w:val="0"/>
              <w:marRight w:val="0"/>
              <w:marTop w:val="0"/>
              <w:marBottom w:val="0"/>
              <w:divBdr>
                <w:top w:val="none" w:sz="0" w:space="0" w:color="auto"/>
                <w:left w:val="none" w:sz="0" w:space="0" w:color="auto"/>
                <w:bottom w:val="none" w:sz="0" w:space="0" w:color="auto"/>
                <w:right w:val="none" w:sz="0" w:space="0" w:color="auto"/>
              </w:divBdr>
              <w:divsChild>
                <w:div w:id="879589935">
                  <w:marLeft w:val="0"/>
                  <w:marRight w:val="0"/>
                  <w:marTop w:val="0"/>
                  <w:marBottom w:val="0"/>
                  <w:divBdr>
                    <w:top w:val="none" w:sz="0" w:space="0" w:color="auto"/>
                    <w:left w:val="none" w:sz="0" w:space="0" w:color="auto"/>
                    <w:bottom w:val="none" w:sz="0" w:space="0" w:color="auto"/>
                    <w:right w:val="none" w:sz="0" w:space="0" w:color="auto"/>
                  </w:divBdr>
                </w:div>
              </w:divsChild>
            </w:div>
            <w:div w:id="1758599932">
              <w:marLeft w:val="0"/>
              <w:marRight w:val="0"/>
              <w:marTop w:val="0"/>
              <w:marBottom w:val="0"/>
              <w:divBdr>
                <w:top w:val="none" w:sz="0" w:space="0" w:color="auto"/>
                <w:left w:val="none" w:sz="0" w:space="0" w:color="auto"/>
                <w:bottom w:val="none" w:sz="0" w:space="0" w:color="auto"/>
                <w:right w:val="none" w:sz="0" w:space="0" w:color="auto"/>
              </w:divBdr>
              <w:divsChild>
                <w:div w:id="25887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41164">
          <w:marLeft w:val="0"/>
          <w:marRight w:val="0"/>
          <w:marTop w:val="0"/>
          <w:marBottom w:val="0"/>
          <w:divBdr>
            <w:top w:val="none" w:sz="0" w:space="0" w:color="auto"/>
            <w:left w:val="none" w:sz="0" w:space="0" w:color="auto"/>
            <w:bottom w:val="none" w:sz="0" w:space="0" w:color="auto"/>
            <w:right w:val="none" w:sz="0" w:space="0" w:color="auto"/>
          </w:divBdr>
          <w:divsChild>
            <w:div w:id="1516726158">
              <w:marLeft w:val="0"/>
              <w:marRight w:val="0"/>
              <w:marTop w:val="0"/>
              <w:marBottom w:val="0"/>
              <w:divBdr>
                <w:top w:val="none" w:sz="0" w:space="0" w:color="auto"/>
                <w:left w:val="none" w:sz="0" w:space="0" w:color="auto"/>
                <w:bottom w:val="none" w:sz="0" w:space="0" w:color="auto"/>
                <w:right w:val="none" w:sz="0" w:space="0" w:color="auto"/>
              </w:divBdr>
              <w:divsChild>
                <w:div w:id="827864520">
                  <w:marLeft w:val="0"/>
                  <w:marRight w:val="0"/>
                  <w:marTop w:val="0"/>
                  <w:marBottom w:val="0"/>
                  <w:divBdr>
                    <w:top w:val="none" w:sz="0" w:space="0" w:color="auto"/>
                    <w:left w:val="none" w:sz="0" w:space="0" w:color="auto"/>
                    <w:bottom w:val="none" w:sz="0" w:space="0" w:color="auto"/>
                    <w:right w:val="none" w:sz="0" w:space="0" w:color="auto"/>
                  </w:divBdr>
                </w:div>
              </w:divsChild>
            </w:div>
            <w:div w:id="474226604">
              <w:marLeft w:val="0"/>
              <w:marRight w:val="0"/>
              <w:marTop w:val="0"/>
              <w:marBottom w:val="0"/>
              <w:divBdr>
                <w:top w:val="none" w:sz="0" w:space="0" w:color="auto"/>
                <w:left w:val="none" w:sz="0" w:space="0" w:color="auto"/>
                <w:bottom w:val="none" w:sz="0" w:space="0" w:color="auto"/>
                <w:right w:val="none" w:sz="0" w:space="0" w:color="auto"/>
              </w:divBdr>
              <w:divsChild>
                <w:div w:id="15748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7943">
          <w:marLeft w:val="0"/>
          <w:marRight w:val="0"/>
          <w:marTop w:val="0"/>
          <w:marBottom w:val="0"/>
          <w:divBdr>
            <w:top w:val="none" w:sz="0" w:space="0" w:color="auto"/>
            <w:left w:val="none" w:sz="0" w:space="0" w:color="auto"/>
            <w:bottom w:val="none" w:sz="0" w:space="0" w:color="auto"/>
            <w:right w:val="none" w:sz="0" w:space="0" w:color="auto"/>
          </w:divBdr>
          <w:divsChild>
            <w:div w:id="40594348">
              <w:marLeft w:val="0"/>
              <w:marRight w:val="0"/>
              <w:marTop w:val="0"/>
              <w:marBottom w:val="0"/>
              <w:divBdr>
                <w:top w:val="none" w:sz="0" w:space="0" w:color="auto"/>
                <w:left w:val="none" w:sz="0" w:space="0" w:color="auto"/>
                <w:bottom w:val="none" w:sz="0" w:space="0" w:color="auto"/>
                <w:right w:val="none" w:sz="0" w:space="0" w:color="auto"/>
              </w:divBdr>
              <w:divsChild>
                <w:div w:id="1953632090">
                  <w:marLeft w:val="0"/>
                  <w:marRight w:val="0"/>
                  <w:marTop w:val="0"/>
                  <w:marBottom w:val="0"/>
                  <w:divBdr>
                    <w:top w:val="none" w:sz="0" w:space="0" w:color="auto"/>
                    <w:left w:val="none" w:sz="0" w:space="0" w:color="auto"/>
                    <w:bottom w:val="none" w:sz="0" w:space="0" w:color="auto"/>
                    <w:right w:val="none" w:sz="0" w:space="0" w:color="auto"/>
                  </w:divBdr>
                </w:div>
              </w:divsChild>
            </w:div>
            <w:div w:id="2033917566">
              <w:marLeft w:val="0"/>
              <w:marRight w:val="0"/>
              <w:marTop w:val="0"/>
              <w:marBottom w:val="0"/>
              <w:divBdr>
                <w:top w:val="none" w:sz="0" w:space="0" w:color="auto"/>
                <w:left w:val="none" w:sz="0" w:space="0" w:color="auto"/>
                <w:bottom w:val="none" w:sz="0" w:space="0" w:color="auto"/>
                <w:right w:val="none" w:sz="0" w:space="0" w:color="auto"/>
              </w:divBdr>
              <w:divsChild>
                <w:div w:id="11253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74809">
          <w:marLeft w:val="0"/>
          <w:marRight w:val="0"/>
          <w:marTop w:val="0"/>
          <w:marBottom w:val="0"/>
          <w:divBdr>
            <w:top w:val="none" w:sz="0" w:space="0" w:color="auto"/>
            <w:left w:val="none" w:sz="0" w:space="0" w:color="auto"/>
            <w:bottom w:val="none" w:sz="0" w:space="0" w:color="auto"/>
            <w:right w:val="none" w:sz="0" w:space="0" w:color="auto"/>
          </w:divBdr>
          <w:divsChild>
            <w:div w:id="907809759">
              <w:marLeft w:val="0"/>
              <w:marRight w:val="0"/>
              <w:marTop w:val="0"/>
              <w:marBottom w:val="0"/>
              <w:divBdr>
                <w:top w:val="none" w:sz="0" w:space="0" w:color="auto"/>
                <w:left w:val="none" w:sz="0" w:space="0" w:color="auto"/>
                <w:bottom w:val="none" w:sz="0" w:space="0" w:color="auto"/>
                <w:right w:val="none" w:sz="0" w:space="0" w:color="auto"/>
              </w:divBdr>
              <w:divsChild>
                <w:div w:id="1622347128">
                  <w:marLeft w:val="0"/>
                  <w:marRight w:val="0"/>
                  <w:marTop w:val="0"/>
                  <w:marBottom w:val="0"/>
                  <w:divBdr>
                    <w:top w:val="none" w:sz="0" w:space="0" w:color="auto"/>
                    <w:left w:val="none" w:sz="0" w:space="0" w:color="auto"/>
                    <w:bottom w:val="none" w:sz="0" w:space="0" w:color="auto"/>
                    <w:right w:val="none" w:sz="0" w:space="0" w:color="auto"/>
                  </w:divBdr>
                </w:div>
              </w:divsChild>
            </w:div>
            <w:div w:id="1342704403">
              <w:marLeft w:val="0"/>
              <w:marRight w:val="0"/>
              <w:marTop w:val="0"/>
              <w:marBottom w:val="0"/>
              <w:divBdr>
                <w:top w:val="none" w:sz="0" w:space="0" w:color="auto"/>
                <w:left w:val="none" w:sz="0" w:space="0" w:color="auto"/>
                <w:bottom w:val="none" w:sz="0" w:space="0" w:color="auto"/>
                <w:right w:val="none" w:sz="0" w:space="0" w:color="auto"/>
              </w:divBdr>
              <w:divsChild>
                <w:div w:id="18235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19514">
          <w:marLeft w:val="0"/>
          <w:marRight w:val="0"/>
          <w:marTop w:val="0"/>
          <w:marBottom w:val="0"/>
          <w:divBdr>
            <w:top w:val="none" w:sz="0" w:space="0" w:color="auto"/>
            <w:left w:val="none" w:sz="0" w:space="0" w:color="auto"/>
            <w:bottom w:val="none" w:sz="0" w:space="0" w:color="auto"/>
            <w:right w:val="none" w:sz="0" w:space="0" w:color="auto"/>
          </w:divBdr>
          <w:divsChild>
            <w:div w:id="1369329530">
              <w:marLeft w:val="0"/>
              <w:marRight w:val="0"/>
              <w:marTop w:val="0"/>
              <w:marBottom w:val="0"/>
              <w:divBdr>
                <w:top w:val="none" w:sz="0" w:space="0" w:color="auto"/>
                <w:left w:val="none" w:sz="0" w:space="0" w:color="auto"/>
                <w:bottom w:val="none" w:sz="0" w:space="0" w:color="auto"/>
                <w:right w:val="none" w:sz="0" w:space="0" w:color="auto"/>
              </w:divBdr>
              <w:divsChild>
                <w:div w:id="8985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31457">
      <w:bodyDiv w:val="1"/>
      <w:marLeft w:val="0"/>
      <w:marRight w:val="0"/>
      <w:marTop w:val="0"/>
      <w:marBottom w:val="0"/>
      <w:divBdr>
        <w:top w:val="none" w:sz="0" w:space="0" w:color="auto"/>
        <w:left w:val="none" w:sz="0" w:space="0" w:color="auto"/>
        <w:bottom w:val="none" w:sz="0" w:space="0" w:color="auto"/>
        <w:right w:val="none" w:sz="0" w:space="0" w:color="auto"/>
      </w:divBdr>
      <w:divsChild>
        <w:div w:id="517306539">
          <w:marLeft w:val="0"/>
          <w:marRight w:val="0"/>
          <w:marTop w:val="0"/>
          <w:marBottom w:val="0"/>
          <w:divBdr>
            <w:top w:val="none" w:sz="0" w:space="0" w:color="auto"/>
            <w:left w:val="none" w:sz="0" w:space="0" w:color="auto"/>
            <w:bottom w:val="none" w:sz="0" w:space="0" w:color="auto"/>
            <w:right w:val="none" w:sz="0" w:space="0" w:color="auto"/>
          </w:divBdr>
          <w:divsChild>
            <w:div w:id="1308047008">
              <w:marLeft w:val="0"/>
              <w:marRight w:val="0"/>
              <w:marTop w:val="0"/>
              <w:marBottom w:val="0"/>
              <w:divBdr>
                <w:top w:val="none" w:sz="0" w:space="0" w:color="auto"/>
                <w:left w:val="none" w:sz="0" w:space="0" w:color="auto"/>
                <w:bottom w:val="none" w:sz="0" w:space="0" w:color="auto"/>
                <w:right w:val="none" w:sz="0" w:space="0" w:color="auto"/>
              </w:divBdr>
              <w:divsChild>
                <w:div w:id="16993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394</TotalTime>
  <Pages>3</Pages>
  <Words>1447</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Statement V1</dc:title>
  <dc:subject>Research section of Ce Liu’s reflective essay</dc:subject>
  <dc:creator>Ce Liu</dc:creator>
  <cp:keywords/>
  <dc:description/>
  <cp:lastModifiedBy>Ce Liu</cp:lastModifiedBy>
  <cp:revision>131</cp:revision>
  <dcterms:created xsi:type="dcterms:W3CDTF">2023-10-24T18:12:00Z</dcterms:created>
  <dcterms:modified xsi:type="dcterms:W3CDTF">2026-08-30T01:52:00Z</dcterms:modified>
</cp:coreProperties>
</file>